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9D" w:rsidRPr="001F55C0" w:rsidRDefault="0099609D" w:rsidP="0099609D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1F55C0">
        <w:rPr>
          <w:rFonts w:ascii="Arial" w:hAnsi="Arial" w:cs="Arial"/>
          <w:b/>
          <w:sz w:val="22"/>
          <w:szCs w:val="22"/>
          <w:lang w:val="hr-HR"/>
        </w:rPr>
        <w:t>POLAZNE OSNOVE</w:t>
      </w:r>
    </w:p>
    <w:p w:rsidR="0099609D" w:rsidRPr="001F55C0" w:rsidRDefault="0099609D" w:rsidP="0099609D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1F55C0">
        <w:rPr>
          <w:rFonts w:ascii="Arial" w:hAnsi="Arial" w:cs="Arial"/>
          <w:b/>
          <w:sz w:val="22"/>
          <w:szCs w:val="22"/>
          <w:lang w:val="hr-HR"/>
        </w:rPr>
        <w:t>ZA IZRADU PROGRAMA JAVNIH POTREBA U ŠPORT</w:t>
      </w:r>
      <w:r>
        <w:rPr>
          <w:rFonts w:ascii="Arial" w:hAnsi="Arial" w:cs="Arial"/>
          <w:b/>
          <w:sz w:val="22"/>
          <w:szCs w:val="22"/>
          <w:lang w:val="hr-HR"/>
        </w:rPr>
        <w:t>U GRADA ZADRA ZA 201</w:t>
      </w:r>
      <w:r w:rsidR="0041189A">
        <w:rPr>
          <w:rFonts w:ascii="Arial" w:hAnsi="Arial" w:cs="Arial"/>
          <w:b/>
          <w:sz w:val="22"/>
          <w:szCs w:val="22"/>
          <w:lang w:val="hr-HR"/>
        </w:rPr>
        <w:t>5</w:t>
      </w:r>
      <w:r w:rsidRPr="001F55C0">
        <w:rPr>
          <w:rFonts w:ascii="Arial" w:hAnsi="Arial" w:cs="Arial"/>
          <w:b/>
          <w:sz w:val="22"/>
          <w:szCs w:val="22"/>
          <w:lang w:val="hr-HR"/>
        </w:rPr>
        <w:t>. GODINU</w:t>
      </w:r>
    </w:p>
    <w:p w:rsidR="0099609D" w:rsidRPr="001C209B" w:rsidRDefault="0099609D" w:rsidP="00412A48">
      <w:pPr>
        <w:pStyle w:val="toa"/>
        <w:tabs>
          <w:tab w:val="left" w:pos="708"/>
        </w:tabs>
        <w:suppressAutoHyphens w:val="0"/>
        <w:spacing w:before="100" w:before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b/>
          <w:sz w:val="22"/>
          <w:szCs w:val="22"/>
          <w:lang w:val="hr-HR"/>
        </w:rPr>
        <w:t>Ovom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</w:t>
      </w:r>
      <w:r w:rsidRPr="001C209B">
        <w:rPr>
          <w:rFonts w:ascii="Arial" w:hAnsi="Arial" w:cs="Arial"/>
          <w:b/>
          <w:sz w:val="22"/>
          <w:szCs w:val="22"/>
          <w:lang w:val="hr-HR"/>
        </w:rPr>
        <w:t>Uputom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o izradi prijedloga programa javnih potreba u športu Grada </w:t>
      </w:r>
      <w:r>
        <w:rPr>
          <w:rFonts w:ascii="Arial" w:hAnsi="Arial" w:cs="Arial"/>
          <w:sz w:val="22"/>
          <w:szCs w:val="22"/>
          <w:lang w:val="hr-HR"/>
        </w:rPr>
        <w:t>Zadra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i plana sredstava za sufinanciranje programa javnih potreba</w:t>
      </w:r>
      <w:r>
        <w:rPr>
          <w:rFonts w:ascii="Arial" w:hAnsi="Arial" w:cs="Arial"/>
          <w:sz w:val="22"/>
          <w:szCs w:val="22"/>
          <w:lang w:val="hr-HR"/>
        </w:rPr>
        <w:t xml:space="preserve"> u športu Grada Zadra za 201</w:t>
      </w:r>
      <w:r w:rsidR="00C54CDB">
        <w:rPr>
          <w:rFonts w:ascii="Arial" w:hAnsi="Arial" w:cs="Arial"/>
          <w:sz w:val="22"/>
          <w:szCs w:val="22"/>
          <w:lang w:val="hr-HR"/>
        </w:rPr>
        <w:t>5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. godinu u kojima participiraju klubovi iz članstva </w:t>
      </w:r>
      <w:r>
        <w:rPr>
          <w:rFonts w:ascii="Arial" w:hAnsi="Arial" w:cs="Arial"/>
          <w:sz w:val="22"/>
          <w:szCs w:val="22"/>
          <w:lang w:val="hr-HR"/>
        </w:rPr>
        <w:t>Š</w:t>
      </w:r>
      <w:r w:rsidRPr="001C209B">
        <w:rPr>
          <w:rFonts w:ascii="Arial" w:hAnsi="Arial" w:cs="Arial"/>
          <w:sz w:val="22"/>
          <w:szCs w:val="22"/>
          <w:lang w:val="hr-HR"/>
        </w:rPr>
        <w:t>portsk</w:t>
      </w:r>
      <w:r>
        <w:rPr>
          <w:rFonts w:ascii="Arial" w:hAnsi="Arial" w:cs="Arial"/>
          <w:sz w:val="22"/>
          <w:szCs w:val="22"/>
          <w:lang w:val="hr-HR"/>
        </w:rPr>
        <w:t>e zajednice Grada Zadra</w:t>
      </w:r>
      <w:r w:rsidRPr="001C209B">
        <w:rPr>
          <w:rFonts w:ascii="Arial" w:hAnsi="Arial" w:cs="Arial"/>
          <w:sz w:val="22"/>
          <w:szCs w:val="22"/>
          <w:lang w:val="hr-HR"/>
        </w:rPr>
        <w:t>, definiraju se elementi potrebni za iz</w:t>
      </w:r>
      <w:r>
        <w:rPr>
          <w:rFonts w:ascii="Arial" w:hAnsi="Arial" w:cs="Arial"/>
          <w:sz w:val="22"/>
          <w:szCs w:val="22"/>
          <w:lang w:val="hr-HR"/>
        </w:rPr>
        <w:t>radu prijedloga programa za 2014</w:t>
      </w:r>
      <w:r w:rsidRPr="001C209B">
        <w:rPr>
          <w:rFonts w:ascii="Arial" w:hAnsi="Arial" w:cs="Arial"/>
          <w:sz w:val="22"/>
          <w:szCs w:val="22"/>
          <w:lang w:val="hr-HR"/>
        </w:rPr>
        <w:t>.</w:t>
      </w:r>
    </w:p>
    <w:p w:rsidR="0099609D" w:rsidRPr="001C209B" w:rsidRDefault="0099609D" w:rsidP="00412A4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Prijedlog programa javnih potreba</w:t>
      </w:r>
      <w:r>
        <w:rPr>
          <w:rFonts w:ascii="Arial" w:hAnsi="Arial" w:cs="Arial"/>
          <w:sz w:val="22"/>
          <w:szCs w:val="22"/>
          <w:lang w:val="hr-HR"/>
        </w:rPr>
        <w:t xml:space="preserve"> u športu Grada Zadra za 201</w:t>
      </w:r>
      <w:r w:rsidR="0041189A">
        <w:rPr>
          <w:rFonts w:ascii="Arial" w:hAnsi="Arial" w:cs="Arial"/>
          <w:sz w:val="22"/>
          <w:szCs w:val="22"/>
          <w:lang w:val="hr-HR"/>
        </w:rPr>
        <w:t>5</w:t>
      </w:r>
      <w:r w:rsidRPr="001C209B">
        <w:rPr>
          <w:rFonts w:ascii="Arial" w:hAnsi="Arial" w:cs="Arial"/>
          <w:sz w:val="22"/>
          <w:szCs w:val="22"/>
          <w:lang w:val="hr-HR"/>
        </w:rPr>
        <w:t>. godinu dostavljamo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Upravnom odjelu za </w:t>
      </w:r>
      <w:r>
        <w:rPr>
          <w:rFonts w:ascii="Arial" w:hAnsi="Arial" w:cs="Arial"/>
          <w:sz w:val="22"/>
          <w:szCs w:val="22"/>
          <w:lang w:val="hr-HR"/>
        </w:rPr>
        <w:t>financije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>već do 30. listopada 201</w:t>
      </w:r>
      <w:r w:rsidR="003D6A32">
        <w:rPr>
          <w:rFonts w:ascii="Arial" w:hAnsi="Arial" w:cs="Arial"/>
          <w:b/>
          <w:sz w:val="22"/>
          <w:szCs w:val="22"/>
          <w:lang w:val="hr-HR"/>
        </w:rPr>
        <w:t>4</w:t>
      </w:r>
      <w:r w:rsidRPr="001C209B">
        <w:rPr>
          <w:rFonts w:ascii="Arial" w:hAnsi="Arial" w:cs="Arial"/>
          <w:b/>
          <w:sz w:val="22"/>
          <w:szCs w:val="22"/>
          <w:lang w:val="hr-HR"/>
        </w:rPr>
        <w:t>. godine</w:t>
      </w:r>
      <w:r w:rsidRPr="001C209B">
        <w:rPr>
          <w:rFonts w:ascii="Arial" w:hAnsi="Arial" w:cs="Arial"/>
          <w:sz w:val="22"/>
          <w:szCs w:val="22"/>
          <w:lang w:val="hr-HR"/>
        </w:rPr>
        <w:t>, zajedno s globalnim financijskim pokazateljima Plana sredstava za sufinanciranje programa javnih potreba</w:t>
      </w:r>
      <w:r>
        <w:rPr>
          <w:rFonts w:ascii="Arial" w:hAnsi="Arial" w:cs="Arial"/>
          <w:sz w:val="22"/>
          <w:szCs w:val="22"/>
          <w:lang w:val="hr-HR"/>
        </w:rPr>
        <w:t xml:space="preserve"> u športu Grada Zadra za 201</w:t>
      </w:r>
      <w:r w:rsidR="0041189A">
        <w:rPr>
          <w:rFonts w:ascii="Arial" w:hAnsi="Arial" w:cs="Arial"/>
          <w:sz w:val="22"/>
          <w:szCs w:val="22"/>
          <w:lang w:val="hr-HR"/>
        </w:rPr>
        <w:t>5</w:t>
      </w:r>
      <w:r w:rsidRPr="001C209B">
        <w:rPr>
          <w:rFonts w:ascii="Arial" w:hAnsi="Arial" w:cs="Arial"/>
          <w:sz w:val="22"/>
          <w:szCs w:val="22"/>
          <w:lang w:val="hr-HR"/>
        </w:rPr>
        <w:t>. godinu. Sukladno tome molimo vas da što kvalitetnije pripremite vaš pri</w:t>
      </w:r>
      <w:r>
        <w:rPr>
          <w:rFonts w:ascii="Arial" w:hAnsi="Arial" w:cs="Arial"/>
          <w:sz w:val="22"/>
          <w:szCs w:val="22"/>
          <w:lang w:val="hr-HR"/>
        </w:rPr>
        <w:t>jedlog Programa za 201</w:t>
      </w:r>
      <w:r w:rsidR="0041189A">
        <w:rPr>
          <w:rFonts w:ascii="Arial" w:hAnsi="Arial" w:cs="Arial"/>
          <w:sz w:val="22"/>
          <w:szCs w:val="22"/>
          <w:lang w:val="hr-HR"/>
        </w:rPr>
        <w:t>5</w:t>
      </w:r>
      <w:r>
        <w:rPr>
          <w:rFonts w:ascii="Arial" w:hAnsi="Arial" w:cs="Arial"/>
          <w:sz w:val="22"/>
          <w:szCs w:val="22"/>
          <w:lang w:val="hr-HR"/>
        </w:rPr>
        <w:t>. godinu s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obzirom na ekonomsku situaciju i recesiju</w:t>
      </w:r>
      <w:r w:rsidRPr="001C209B">
        <w:rPr>
          <w:rFonts w:ascii="Arial" w:hAnsi="Arial" w:cs="Arial"/>
          <w:b/>
          <w:sz w:val="22"/>
          <w:szCs w:val="22"/>
          <w:lang w:val="hr-HR"/>
        </w:rPr>
        <w:t>.</w:t>
      </w:r>
    </w:p>
    <w:p w:rsidR="0099609D" w:rsidRPr="001C209B" w:rsidRDefault="0099609D" w:rsidP="00412A4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Problematika financiranja sportskih udruga (klubova) od strane Grada </w:t>
      </w:r>
      <w:r>
        <w:rPr>
          <w:rFonts w:ascii="Arial" w:hAnsi="Arial" w:cs="Arial"/>
          <w:sz w:val="22"/>
          <w:szCs w:val="22"/>
          <w:lang w:val="hr-HR"/>
        </w:rPr>
        <w:t>Zadra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aktualizirana je posebno u uvjetima trenutne gospodarske recesije. Složenost ovog problema multiplicira se s obzirom na veliki broj različitih sportova i udruga</w:t>
      </w:r>
      <w:r w:rsidRPr="001C209B">
        <w:rPr>
          <w:rStyle w:val="Bodytext2"/>
          <w:rFonts w:ascii="Arial" w:hAnsi="Arial" w:cs="Arial"/>
          <w:sz w:val="22"/>
          <w:szCs w:val="22"/>
          <w:lang w:val="hr-HR"/>
        </w:rPr>
        <w:t xml:space="preserve">. </w:t>
      </w:r>
      <w:r w:rsidRPr="001C209B">
        <w:rPr>
          <w:rFonts w:ascii="Arial" w:hAnsi="Arial" w:cs="Arial"/>
          <w:sz w:val="22"/>
          <w:szCs w:val="22"/>
          <w:lang w:val="hr-HR"/>
        </w:rPr>
        <w:t>Nameće se stoga potreba za objektivnim tretiranjem ove problematike i utvrđivanja što objektivnijih i pouzdanijih kriterija za financiranje sportskih udruga.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Prava iz Programa javnih potreba športa Grada </w:t>
      </w:r>
      <w:r>
        <w:rPr>
          <w:rFonts w:ascii="Arial" w:hAnsi="Arial" w:cs="Arial"/>
          <w:sz w:val="22"/>
          <w:szCs w:val="22"/>
          <w:lang w:val="hr-HR"/>
        </w:rPr>
        <w:t>Zadra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športski klubovi ostvarit će na osnovu stručno-programskih mjerila. Pri tome, bitan će utjecaj imati pokazatelj strukture aktivnosti, odnosno broj registriranih športaša svih uzrasta (mlađi kadeti, kadeti, juniori i seniori), te broj kategoriziranih športaša od I. do VI. kategorije.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Kod planiranja i programiranja športova u okviru Programa javnih potreba u športu Grada </w:t>
      </w:r>
      <w:r>
        <w:rPr>
          <w:rFonts w:ascii="Arial" w:hAnsi="Arial" w:cs="Arial"/>
          <w:sz w:val="22"/>
          <w:szCs w:val="22"/>
          <w:lang w:val="hr-HR"/>
        </w:rPr>
        <w:t>Zadra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u obzir će se uzeti specifičnost pojedinačnih športova u odnosu na momčadske. Pojedine ženske športske selekcije, ovisno o športu, razini kvalitete i proračunskim mogućnostima, nastojat će se kvalitetnije pratiti. Značajnije će se vrednovati olimpijski športovi u odnosu na neolimpijske.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Za kvalitetnije praćenje športskog kluba u programu javnih potreba uz športski rezultat, bitan će utjecaj imati obavezno postojanje svih dobnih kategorija unutar kluba, a koje su definirane pravilima nacionalne federacije pojedinog športa.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Klubovi u pojedinačnim športovima koji su u zadnjem olimpijskom ciklusu kroz programe detektirani kao sredine koje stvaraju vrhunske športaše dodatno će se zaštiti. Podupirat će se klupske sredine koje stvaraju vlastite športaše, a ne „kupovina kategoriziranih“ športaša.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Športske priredbe od osobitog interesa za Grad </w:t>
      </w:r>
      <w:r>
        <w:rPr>
          <w:rFonts w:ascii="Arial" w:hAnsi="Arial" w:cs="Arial"/>
          <w:sz w:val="22"/>
          <w:szCs w:val="22"/>
          <w:lang w:val="hr-HR"/>
        </w:rPr>
        <w:t>Zadra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sufinancirat će se sukladno kvaliteti natjecanja i ukupno raspoloživim sredstvima u Planu sredstava za sufinanciranje programa javnih potreba</w:t>
      </w:r>
      <w:r>
        <w:rPr>
          <w:rFonts w:ascii="Arial" w:hAnsi="Arial" w:cs="Arial"/>
          <w:sz w:val="22"/>
          <w:szCs w:val="22"/>
          <w:lang w:val="hr-HR"/>
        </w:rPr>
        <w:t xml:space="preserve"> u športu Grada Zadra za 201</w:t>
      </w:r>
      <w:r w:rsidR="0041189A">
        <w:rPr>
          <w:rFonts w:ascii="Arial" w:hAnsi="Arial" w:cs="Arial"/>
          <w:sz w:val="22"/>
          <w:szCs w:val="22"/>
          <w:lang w:val="hr-HR"/>
        </w:rPr>
        <w:t>5</w:t>
      </w:r>
      <w:r w:rsidRPr="001C209B">
        <w:rPr>
          <w:rFonts w:ascii="Arial" w:hAnsi="Arial" w:cs="Arial"/>
          <w:sz w:val="22"/>
          <w:szCs w:val="22"/>
          <w:lang w:val="hr-HR"/>
        </w:rPr>
        <w:t>. godinu.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Športska zajednica Grada Zadra obvezan j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e pridržavati </w:t>
      </w:r>
      <w:r>
        <w:rPr>
          <w:rFonts w:ascii="Arial" w:hAnsi="Arial" w:cs="Arial"/>
          <w:sz w:val="22"/>
          <w:szCs w:val="22"/>
          <w:lang w:val="hr-HR"/>
        </w:rPr>
        <w:t xml:space="preserve">se </w:t>
      </w:r>
      <w:r w:rsidRPr="001C209B">
        <w:rPr>
          <w:rFonts w:ascii="Arial" w:hAnsi="Arial" w:cs="Arial"/>
          <w:sz w:val="22"/>
          <w:szCs w:val="22"/>
          <w:lang w:val="hr-HR"/>
        </w:rPr>
        <w:t>Nomenklature sportova i sportskih grana Hrvatskog olimpijskog odbora.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Sufinanciraju se programi sportskih klubova ili udruga koji su članice u Nacionalnom športskom savezu, a nacionalni savez treba biti član Hrvatskog olimpijskog odbora. 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Klubovi moraju imati natjecatelje uključene u Nacionalne saveze iz članstva Hrvatskog olimpijskog odbora.</w:t>
      </w:r>
    </w:p>
    <w:p w:rsidR="0099609D" w:rsidRPr="001C209B" w:rsidRDefault="0099609D" w:rsidP="00412A48">
      <w:pPr>
        <w:numPr>
          <w:ilvl w:val="0"/>
          <w:numId w:val="1"/>
        </w:num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Klub treba imati trenera sa programom rada i sa stručnom kvalifikacijom. Treba imati najmanje tri termina za održavanje treninga</w:t>
      </w:r>
      <w:r>
        <w:rPr>
          <w:rFonts w:ascii="Arial" w:hAnsi="Arial" w:cs="Arial"/>
          <w:sz w:val="22"/>
          <w:szCs w:val="22"/>
          <w:lang w:val="hr-HR"/>
        </w:rPr>
        <w:t>, te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 najmanje dvije ekipe u mlađim dobnim skupinama</w:t>
      </w:r>
      <w:r w:rsidRPr="001C209B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1C209B">
        <w:rPr>
          <w:rFonts w:ascii="Arial" w:hAnsi="Arial" w:cs="Arial"/>
          <w:sz w:val="22"/>
          <w:szCs w:val="22"/>
          <w:lang w:val="hr-HR"/>
        </w:rPr>
        <w:t xml:space="preserve">(juniori, kadeti, mlađi kadeti ili </w:t>
      </w:r>
      <w:proofErr w:type="spellStart"/>
      <w:r w:rsidRPr="001C209B">
        <w:rPr>
          <w:rFonts w:ascii="Arial" w:hAnsi="Arial" w:cs="Arial"/>
          <w:sz w:val="22"/>
          <w:szCs w:val="22"/>
          <w:lang w:val="hr-HR"/>
        </w:rPr>
        <w:t>limači</w:t>
      </w:r>
      <w:proofErr w:type="spellEnd"/>
      <w:r w:rsidRPr="001C209B">
        <w:rPr>
          <w:rFonts w:ascii="Arial" w:hAnsi="Arial" w:cs="Arial"/>
          <w:sz w:val="22"/>
          <w:szCs w:val="22"/>
          <w:lang w:val="hr-HR"/>
        </w:rPr>
        <w:t>).</w:t>
      </w:r>
    </w:p>
    <w:p w:rsidR="0099609D" w:rsidRPr="001C209B" w:rsidRDefault="0099609D" w:rsidP="00412A48">
      <w:pPr>
        <w:ind w:left="36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lastRenderedPageBreak/>
        <w:t>Logičnim slijedom dolazimo do parametra, a to je kategorizacija športskih klubova po parametru kvalitete rada, naročito s mlađim kategorijama.</w:t>
      </w:r>
    </w:p>
    <w:p w:rsidR="0099609D" w:rsidRPr="001C209B" w:rsidRDefault="0099609D" w:rsidP="00412A48">
      <w:pPr>
        <w:ind w:left="36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Glede sufinanciranja programa športskih klubova s pojedinih planskih pozicija, bitno je podijeliti športske programe prema kriteriju kvalitete, odnosno podijeliti športske programe u kvalitetne razrede. Unutar te podjele razlikovat će se vrhunski šport od kvalitetnog športa nacionalne, međužupanijske, županijske ili gradske razine, športska rekreacija i </w:t>
      </w:r>
      <w:proofErr w:type="spellStart"/>
      <w:r w:rsidRPr="001C209B">
        <w:rPr>
          <w:rFonts w:ascii="Arial" w:hAnsi="Arial" w:cs="Arial"/>
          <w:sz w:val="22"/>
          <w:szCs w:val="22"/>
          <w:lang w:val="hr-HR"/>
        </w:rPr>
        <w:t>sl</w:t>
      </w:r>
      <w:proofErr w:type="spellEnd"/>
      <w:r w:rsidRPr="001C209B">
        <w:rPr>
          <w:rFonts w:ascii="Arial" w:hAnsi="Arial" w:cs="Arial"/>
          <w:sz w:val="22"/>
          <w:szCs w:val="22"/>
          <w:lang w:val="hr-HR"/>
        </w:rPr>
        <w:t>.</w:t>
      </w:r>
    </w:p>
    <w:p w:rsidR="00C54CDB" w:rsidRDefault="0099609D" w:rsidP="00C54CDB">
      <w:pPr>
        <w:spacing w:before="120" w:after="120"/>
        <w:jc w:val="both"/>
        <w:rPr>
          <w:rStyle w:val="Naglaeno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hr-HR"/>
        </w:rPr>
        <w:t>Grad Zadar i Športska zajednica Grada Zadra</w:t>
      </w:r>
      <w:r w:rsidRPr="006A5CC4">
        <w:rPr>
          <w:rFonts w:ascii="Arial" w:hAnsi="Arial" w:cs="Arial"/>
          <w:b/>
          <w:sz w:val="22"/>
          <w:szCs w:val="22"/>
          <w:lang w:val="hr-HR"/>
        </w:rPr>
        <w:t xml:space="preserve"> sukladno Statutarnim i Zakonskim obvezama poticat će, promicat</w:t>
      </w:r>
      <w:r>
        <w:rPr>
          <w:rFonts w:ascii="Arial" w:hAnsi="Arial" w:cs="Arial"/>
          <w:b/>
          <w:sz w:val="22"/>
          <w:szCs w:val="22"/>
          <w:lang w:val="hr-HR"/>
        </w:rPr>
        <w:t>i</w:t>
      </w:r>
      <w:r w:rsidRPr="006A5CC4">
        <w:rPr>
          <w:rFonts w:ascii="Arial" w:hAnsi="Arial" w:cs="Arial"/>
          <w:b/>
          <w:sz w:val="22"/>
          <w:szCs w:val="22"/>
          <w:lang w:val="hr-HR"/>
        </w:rPr>
        <w:t xml:space="preserve"> i razvijat</w:t>
      </w:r>
      <w:r>
        <w:rPr>
          <w:rFonts w:ascii="Arial" w:hAnsi="Arial" w:cs="Arial"/>
          <w:b/>
          <w:sz w:val="22"/>
          <w:szCs w:val="22"/>
          <w:lang w:val="hr-HR"/>
        </w:rPr>
        <w:t>i</w:t>
      </w:r>
      <w:r w:rsidRPr="006A5CC4">
        <w:rPr>
          <w:rFonts w:ascii="Arial" w:hAnsi="Arial" w:cs="Arial"/>
          <w:b/>
          <w:sz w:val="22"/>
          <w:szCs w:val="22"/>
          <w:lang w:val="hr-HR"/>
        </w:rPr>
        <w:t xml:space="preserve"> politiku unapređenja športske djelatnosti u Gradu </w:t>
      </w:r>
      <w:r>
        <w:rPr>
          <w:rFonts w:ascii="Arial" w:hAnsi="Arial" w:cs="Arial"/>
          <w:b/>
          <w:sz w:val="22"/>
          <w:szCs w:val="22"/>
          <w:lang w:val="hr-HR"/>
        </w:rPr>
        <w:t>Zadru</w:t>
      </w:r>
      <w:r w:rsidRPr="006A5CC4">
        <w:rPr>
          <w:rFonts w:ascii="Arial" w:hAnsi="Arial" w:cs="Arial"/>
          <w:b/>
          <w:sz w:val="22"/>
          <w:szCs w:val="22"/>
          <w:lang w:val="hr-HR"/>
        </w:rPr>
        <w:t>.</w:t>
      </w:r>
      <w:r w:rsidRPr="006A5CC4">
        <w:rPr>
          <w:rFonts w:ascii="Arial" w:hAnsi="Arial" w:cs="Arial"/>
          <w:b/>
          <w:sz w:val="22"/>
          <w:szCs w:val="22"/>
          <w:lang w:val="hr-HR"/>
        </w:rPr>
        <w:br/>
      </w:r>
      <w:r w:rsidRPr="001C209B">
        <w:rPr>
          <w:rFonts w:ascii="Arial" w:hAnsi="Arial" w:cs="Arial"/>
          <w:sz w:val="22"/>
          <w:szCs w:val="22"/>
          <w:lang w:val="hr-HR"/>
        </w:rPr>
        <w:br/>
      </w:r>
    </w:p>
    <w:p w:rsidR="0099609D" w:rsidRPr="00C54CDB" w:rsidRDefault="0099609D" w:rsidP="00C54CDB">
      <w:pPr>
        <w:spacing w:before="120" w:after="1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Style w:val="Naglaeno"/>
          <w:sz w:val="22"/>
          <w:szCs w:val="22"/>
        </w:rPr>
        <w:tab/>
      </w:r>
      <w:r>
        <w:rPr>
          <w:rStyle w:val="Naglaeno"/>
          <w:sz w:val="22"/>
          <w:szCs w:val="22"/>
        </w:rPr>
        <w:tab/>
      </w:r>
      <w:r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</w:r>
      <w:r w:rsidRPr="001C209B">
        <w:rPr>
          <w:rStyle w:val="Naglaeno"/>
          <w:sz w:val="22"/>
          <w:szCs w:val="22"/>
        </w:rPr>
        <w:tab/>
        <w:t xml:space="preserve"> </w:t>
      </w:r>
    </w:p>
    <w:p w:rsidR="0099609D" w:rsidRPr="006E664B" w:rsidRDefault="0099609D" w:rsidP="00412A48">
      <w:pPr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>
        <w:rPr>
          <w:rFonts w:ascii="Arial" w:hAnsi="Arial" w:cs="Arial"/>
          <w:b/>
          <w:sz w:val="22"/>
          <w:szCs w:val="22"/>
          <w:u w:val="single"/>
          <w:lang w:val="hr-HR"/>
        </w:rPr>
        <w:t>ISPUNJAVA PROGRAMSKA KOMISIJA (odsjeka za šport i sportske zajednice Grada Zadra)</w:t>
      </w:r>
      <w:r w:rsidRPr="006E664B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</w:t>
      </w:r>
    </w:p>
    <w:p w:rsidR="0099609D" w:rsidRPr="001C209B" w:rsidRDefault="0099609D" w:rsidP="00412A48">
      <w:pPr>
        <w:jc w:val="both"/>
        <w:rPr>
          <w:rFonts w:ascii="Arial" w:hAnsi="Arial" w:cs="Arial"/>
          <w:szCs w:val="24"/>
          <w:lang w:val="hr-HR"/>
        </w:rPr>
      </w:pPr>
    </w:p>
    <w:tbl>
      <w:tblPr>
        <w:tblpPr w:leftFromText="180" w:rightFromText="180" w:vertAnchor="text" w:tblpX="-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525"/>
      </w:tblGrid>
      <w:tr w:rsidR="0099609D" w:rsidRPr="001C209B" w:rsidTr="007E4BA8">
        <w:trPr>
          <w:trHeight w:val="4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DATUM PRIMITKA PROGRAMA</w:t>
            </w: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</w:p>
        </w:tc>
      </w:tr>
    </w:tbl>
    <w:p w:rsidR="0099609D" w:rsidRPr="001C209B" w:rsidRDefault="0099609D" w:rsidP="00412A48">
      <w:pPr>
        <w:ind w:left="360"/>
        <w:jc w:val="both"/>
        <w:rPr>
          <w:rFonts w:ascii="Arial" w:hAnsi="Arial" w:cs="Arial"/>
          <w:lang w:val="hr-HR" w:eastAsia="en-GB"/>
        </w:rPr>
      </w:pPr>
      <w:r w:rsidRPr="001C209B">
        <w:rPr>
          <w:rFonts w:ascii="Arial" w:hAnsi="Arial" w:cs="Arial"/>
          <w:lang w:val="hr-HR"/>
        </w:rPr>
        <w:br/>
      </w:r>
    </w:p>
    <w:p w:rsidR="0099609D" w:rsidRPr="001C209B" w:rsidRDefault="0099609D" w:rsidP="00412A48">
      <w:pPr>
        <w:ind w:left="360"/>
        <w:jc w:val="both"/>
        <w:rPr>
          <w:rFonts w:ascii="Arial" w:hAnsi="Arial" w:cs="Arial"/>
          <w:lang w:val="hr-HR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8"/>
        <w:gridCol w:w="1998"/>
        <w:gridCol w:w="2201"/>
        <w:gridCol w:w="2231"/>
      </w:tblGrid>
      <w:tr w:rsidR="0099609D" w:rsidRPr="001C209B" w:rsidTr="007E4BA8">
        <w:trPr>
          <w:trHeight w:val="370"/>
        </w:trPr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>
              <w:rPr>
                <w:rFonts w:ascii="Arial" w:eastAsia="Arial Unicode MS" w:hAnsi="Arial" w:cs="Arial"/>
                <w:shd w:val="clear" w:color="auto" w:fill="FFFFFF"/>
                <w:lang w:val="hr-HR"/>
              </w:rPr>
              <w:t>OCJENA</w:t>
            </w:r>
            <w:r w:rsidRPr="001C209B">
              <w:rPr>
                <w:rFonts w:ascii="Arial" w:eastAsia="Arial Unicode MS" w:hAnsi="Arial" w:cs="Arial"/>
                <w:shd w:val="clear" w:color="auto" w:fill="FFFFFF"/>
                <w:lang w:val="hr-HR"/>
              </w:rPr>
              <w:t xml:space="preserve"> PROGRAMA</w:t>
            </w: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 xml:space="preserve"> :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4"/>
                <w:szCs w:val="1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4"/>
                <w:szCs w:val="14"/>
                <w:lang w:val="hr-HR"/>
              </w:rPr>
              <w:t>PROGRAM SE PRIHVAĆA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4"/>
                <w:szCs w:val="1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4"/>
                <w:szCs w:val="14"/>
                <w:lang w:val="hr-HR"/>
              </w:rPr>
              <w:t>PROGRAM SE DJELOMIČNO PRIHVAĆA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4"/>
                <w:szCs w:val="1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4"/>
                <w:szCs w:val="14"/>
                <w:lang w:val="hr-HR"/>
              </w:rPr>
              <w:t>PROGRAM SE NE PRIHVAĆA</w:t>
            </w:r>
          </w:p>
        </w:tc>
      </w:tr>
      <w:tr w:rsidR="0099609D" w:rsidRPr="001C209B" w:rsidTr="007E4BA8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7A4687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b/>
                <w:sz w:val="16"/>
                <w:szCs w:val="16"/>
                <w:lang w:val="hr-HR" w:eastAsia="en-GB"/>
              </w:rPr>
            </w:pPr>
            <w:r w:rsidRPr="007A4687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vrdniOkvir1"/>
            <w:r w:rsidR="0099609D" w:rsidRPr="001C209B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fldChar w:fldCharType="end"/>
            </w:r>
            <w:bookmarkEnd w:id="0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7A4687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b/>
                <w:sz w:val="16"/>
                <w:szCs w:val="16"/>
                <w:lang w:val="hr-HR" w:eastAsia="en-GB"/>
              </w:rPr>
            </w:pPr>
            <w:r w:rsidRPr="007A4687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2"/>
            <w:r w:rsidR="0099609D" w:rsidRPr="001C209B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fldChar w:fldCharType="end"/>
            </w:r>
            <w:bookmarkEnd w:id="1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7A4687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b/>
                <w:sz w:val="16"/>
                <w:szCs w:val="16"/>
                <w:lang w:val="hr-HR" w:eastAsia="en-GB"/>
              </w:rPr>
            </w:pPr>
            <w:r w:rsidRPr="007A4687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fldChar w:fldCharType="begin">
                <w:ffData>
                  <w:name w:val="PotvrdniOkvi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vrdniOkvir3"/>
            <w:r w:rsidR="0099609D" w:rsidRPr="001C209B">
              <w:rPr>
                <w:rFonts w:ascii="Arial" w:eastAsia="Arial Unicode MS" w:hAnsi="Arial" w:cs="Arial"/>
                <w:b/>
                <w:sz w:val="16"/>
                <w:szCs w:val="16"/>
                <w:lang w:val="hr-HR"/>
              </w:rPr>
              <w:instrText xml:space="preserve"> FORMCHECKBOX </w:instrText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</w:r>
            <w:r w:rsidRPr="001C209B">
              <w:rPr>
                <w:rFonts w:ascii="Arial" w:eastAsia="Arial Unicode MS" w:hAnsi="Arial" w:cs="Arial"/>
                <w:sz w:val="24"/>
                <w:szCs w:val="24"/>
                <w:lang w:val="hr-HR"/>
              </w:rPr>
              <w:fldChar w:fldCharType="end"/>
            </w:r>
            <w:bookmarkEnd w:id="2"/>
          </w:p>
        </w:tc>
      </w:tr>
    </w:tbl>
    <w:p w:rsidR="0099609D" w:rsidRPr="001C209B" w:rsidRDefault="0099609D" w:rsidP="00412A48">
      <w:pPr>
        <w:ind w:left="360"/>
        <w:jc w:val="both"/>
        <w:rPr>
          <w:rFonts w:ascii="Arial" w:hAnsi="Arial" w:cs="Arial"/>
          <w:lang w:val="hr-HR" w:eastAsia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136"/>
        <w:gridCol w:w="2136"/>
        <w:gridCol w:w="2136"/>
      </w:tblGrid>
      <w:tr w:rsidR="0099609D" w:rsidRPr="001C209B" w:rsidTr="007E4BA8">
        <w:trPr>
          <w:trHeight w:val="43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ČLANOVI KOMISIJE</w:t>
            </w: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 xml:space="preserve">  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3.</w:t>
            </w:r>
          </w:p>
        </w:tc>
      </w:tr>
      <w:tr w:rsidR="0099609D" w:rsidRPr="001C209B" w:rsidTr="007E4BA8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Cs w:val="30"/>
                <w:lang w:val="hr-HR"/>
              </w:rPr>
              <w:t>(</w:t>
            </w:r>
            <w:r w:rsidRPr="001C209B">
              <w:rPr>
                <w:rFonts w:ascii="Arial" w:eastAsia="Arial Unicode MS" w:hAnsi="Arial" w:cs="Arial"/>
                <w:sz w:val="12"/>
                <w:szCs w:val="12"/>
                <w:lang w:val="hr-HR"/>
              </w:rPr>
              <w:t>potpis)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Cs w:val="30"/>
                <w:lang w:val="hr-HR"/>
              </w:rPr>
              <w:t>(</w:t>
            </w:r>
            <w:r w:rsidRPr="001C209B">
              <w:rPr>
                <w:rFonts w:ascii="Arial" w:eastAsia="Arial Unicode MS" w:hAnsi="Arial" w:cs="Arial"/>
                <w:sz w:val="12"/>
                <w:szCs w:val="12"/>
                <w:lang w:val="hr-HR"/>
              </w:rPr>
              <w:t>potpis)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Cs w:val="30"/>
                <w:lang w:val="hr-HR"/>
              </w:rPr>
              <w:t>(</w:t>
            </w:r>
            <w:r w:rsidRPr="001C209B">
              <w:rPr>
                <w:rFonts w:ascii="Arial" w:eastAsia="Arial Unicode MS" w:hAnsi="Arial" w:cs="Arial"/>
                <w:sz w:val="12"/>
                <w:szCs w:val="12"/>
                <w:lang w:val="hr-HR"/>
              </w:rPr>
              <w:t>potpis)</w:t>
            </w:r>
          </w:p>
        </w:tc>
      </w:tr>
      <w:tr w:rsidR="0099609D" w:rsidRPr="001C209B" w:rsidTr="007E4BA8">
        <w:trPr>
          <w:trHeight w:val="46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4.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8"/>
                <w:szCs w:val="18"/>
                <w:lang w:val="hr-HR"/>
              </w:rPr>
              <w:t>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</w:p>
        </w:tc>
      </w:tr>
      <w:tr w:rsidR="0099609D" w:rsidRPr="001C209B" w:rsidTr="007E4BA8">
        <w:trPr>
          <w:trHeight w:val="46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Cs w:val="30"/>
                <w:lang w:val="hr-HR"/>
              </w:rPr>
              <w:t>(</w:t>
            </w:r>
            <w:r w:rsidRPr="001C209B">
              <w:rPr>
                <w:rFonts w:ascii="Arial" w:eastAsia="Arial Unicode MS" w:hAnsi="Arial" w:cs="Arial"/>
                <w:sz w:val="12"/>
                <w:szCs w:val="12"/>
                <w:lang w:val="hr-HR"/>
              </w:rPr>
              <w:t>potpis)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Cs w:val="30"/>
                <w:lang w:val="hr-HR"/>
              </w:rPr>
              <w:t>(</w:t>
            </w:r>
            <w:r w:rsidRPr="001C209B">
              <w:rPr>
                <w:rFonts w:ascii="Arial" w:eastAsia="Arial Unicode MS" w:hAnsi="Arial" w:cs="Arial"/>
                <w:sz w:val="12"/>
                <w:szCs w:val="12"/>
                <w:lang w:val="hr-HR"/>
              </w:rPr>
              <w:t>potpis)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9D" w:rsidRPr="001C209B" w:rsidRDefault="0099609D" w:rsidP="00412A48">
            <w:pPr>
              <w:spacing w:before="100" w:beforeAutospacing="1" w:after="100" w:afterAutospacing="1"/>
              <w:jc w:val="both"/>
              <w:rPr>
                <w:rFonts w:ascii="Arial" w:eastAsia="Arial Unicode MS" w:hAnsi="Arial" w:cs="Arial"/>
                <w:szCs w:val="24"/>
                <w:lang w:val="hr-HR" w:eastAsia="en-GB"/>
              </w:rPr>
            </w:pPr>
          </w:p>
        </w:tc>
      </w:tr>
    </w:tbl>
    <w:p w:rsidR="0099609D" w:rsidRPr="001C209B" w:rsidRDefault="0099609D" w:rsidP="00412A48">
      <w:pPr>
        <w:jc w:val="both"/>
        <w:rPr>
          <w:rFonts w:ascii="Arial" w:hAnsi="Arial" w:cs="Arial"/>
          <w:sz w:val="24"/>
          <w:lang w:val="hr-HR" w:eastAsia="en-GB"/>
        </w:rPr>
      </w:pPr>
    </w:p>
    <w:p w:rsidR="00AB5012" w:rsidRDefault="00AB5012" w:rsidP="00412A48">
      <w:pPr>
        <w:jc w:val="both"/>
      </w:pPr>
    </w:p>
    <w:sectPr w:rsidR="00AB5012" w:rsidSect="005E27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09D"/>
    <w:rsid w:val="003D6A32"/>
    <w:rsid w:val="0041189A"/>
    <w:rsid w:val="00412A48"/>
    <w:rsid w:val="005E277B"/>
    <w:rsid w:val="00643968"/>
    <w:rsid w:val="007A4687"/>
    <w:rsid w:val="0085387F"/>
    <w:rsid w:val="0099609D"/>
    <w:rsid w:val="00AB5012"/>
    <w:rsid w:val="00B46E8C"/>
    <w:rsid w:val="00C54CDB"/>
    <w:rsid w:val="00DF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0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9609D"/>
    <w:rPr>
      <w:b/>
      <w:bCs/>
    </w:rPr>
  </w:style>
  <w:style w:type="paragraph" w:customStyle="1" w:styleId="toa">
    <w:name w:val="toa"/>
    <w:basedOn w:val="Normal"/>
    <w:rsid w:val="0099609D"/>
    <w:pPr>
      <w:tabs>
        <w:tab w:val="left" w:pos="9000"/>
        <w:tab w:val="right" w:pos="9360"/>
      </w:tabs>
      <w:suppressAutoHyphens/>
    </w:pPr>
    <w:rPr>
      <w:rFonts w:ascii="Courier" w:hAnsi="Courier"/>
      <w:sz w:val="24"/>
      <w:lang w:val="en-US" w:eastAsia="hr-HR"/>
    </w:rPr>
  </w:style>
  <w:style w:type="paragraph" w:customStyle="1" w:styleId="style3">
    <w:name w:val="style3"/>
    <w:basedOn w:val="Normal"/>
    <w:rsid w:val="009960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30"/>
      <w:szCs w:val="30"/>
      <w:lang w:val="hr-HR" w:eastAsia="hr-HR"/>
    </w:rPr>
  </w:style>
  <w:style w:type="character" w:customStyle="1" w:styleId="Bodytext2">
    <w:name w:val="Body text2"/>
    <w:rsid w:val="009960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7</cp:revision>
  <cp:lastPrinted>2014-09-03T06:38:00Z</cp:lastPrinted>
  <dcterms:created xsi:type="dcterms:W3CDTF">2013-08-26T08:47:00Z</dcterms:created>
  <dcterms:modified xsi:type="dcterms:W3CDTF">2014-09-03T06:39:00Z</dcterms:modified>
</cp:coreProperties>
</file>